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bCs/>
          <w:sz w:val="28"/>
          <w:szCs w:val="36"/>
          <w:lang w:val="en-US" w:eastAsia="zh-CN"/>
        </w:rPr>
      </w:pPr>
      <w:r>
        <w:rPr>
          <w:rFonts w:hint="eastAsia"/>
          <w:lang w:val="en-US" w:eastAsia="zh-CN"/>
        </w:rPr>
        <w:t xml:space="preserve">                 </w:t>
      </w:r>
      <w:bookmarkStart w:id="0" w:name="_GoBack"/>
      <w:r>
        <w:rPr>
          <w:rFonts w:hint="eastAsia" w:ascii="Times New Roman" w:hAnsi="Times New Roman" w:cs="Times New Roman"/>
          <w:b/>
          <w:bCs/>
          <w:sz w:val="28"/>
          <w:szCs w:val="36"/>
          <w:lang w:val="en-US" w:eastAsia="zh-CN"/>
        </w:rPr>
        <w:t xml:space="preserve"> RY-LFD 3000 Crawler Composting Turner</w:t>
      </w:r>
      <w:bookmarkEnd w:id="0"/>
    </w:p>
    <w:p>
      <w:pPr>
        <w:jc w:val="left"/>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The main application &amp; characteristics of the equipment</w:t>
      </w:r>
    </w:p>
    <w:p>
      <w:pPr>
        <w:jc w:val="left"/>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RY-LFD3000 crawler composting turning machine is designed by Renyuan Biotecch after years of experience in organic fertilizer production, combined with the suggestions of old and new users, the hydraulic lifting crawler type turning machine has the features of compact design, simple operation, saving working site, etc. The machine adopts the patented design of hydraulic lifting of winch shaft. The machine adopts the patented design of hydraulic lifting of the winch shaft, which can lift and adjust the height between the winch and the site to make the operation more convenient when the working site is moved or the turning height needs to be changed.</w:t>
      </w:r>
    </w:p>
    <w:p>
      <w:pPr>
        <w:jc w:val="left"/>
        <w:rPr>
          <w:rFonts w:hint="default" w:ascii="Times New Roman" w:hAnsi="Times New Roman" w:cs="Times New Roman"/>
          <w:color w:val="auto"/>
          <w:sz w:val="22"/>
          <w:szCs w:val="28"/>
          <w:lang w:val="en-US" w:eastAsia="zh-CN"/>
        </w:rPr>
      </w:pP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b/>
          <w:bCs/>
          <w:color w:val="auto"/>
          <w:sz w:val="22"/>
          <w:szCs w:val="28"/>
          <w:lang w:val="en-US" w:eastAsia="zh-CN"/>
        </w:rPr>
        <w:t>Main technical parameters:</w:t>
      </w:r>
      <w:r>
        <w:rPr>
          <w:rFonts w:hint="default" w:ascii="Times New Roman" w:hAnsi="Times New Roman" w:cs="Times New Roman"/>
          <w:color w:val="auto"/>
          <w:sz w:val="22"/>
          <w:szCs w:val="28"/>
          <w:lang w:val="en-US" w:eastAsia="zh-CN"/>
        </w:rPr>
        <w:t xml:space="preserve"> (</w:t>
      </w:r>
      <w:r>
        <w:rPr>
          <w:rFonts w:hint="eastAsia" w:ascii="Times New Roman" w:hAnsi="Times New Roman" w:cs="Times New Roman"/>
          <w:color w:val="auto"/>
          <w:sz w:val="22"/>
          <w:szCs w:val="28"/>
          <w:lang w:val="en-US" w:eastAsia="zh-CN"/>
        </w:rPr>
        <w:t>external dimensions 2800x4170x3250)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windrow</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 width (mm)</w:t>
            </w: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3000</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Rated power (kw)</w:t>
            </w:r>
          </w:p>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height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1.3</w:t>
            </w:r>
          </w:p>
        </w:tc>
        <w:tc>
          <w:tcPr>
            <w:tcW w:w="3170"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 xml:space="preserve">Maximum processing capacity </w:t>
            </w:r>
          </w:p>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(m3/h)</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Track width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2x0.3</w:t>
            </w:r>
            <w:r>
              <w:rPr>
                <w:rFonts w:hint="eastAsia" w:ascii="Times New Roman" w:hAnsi="Times New Roman" w:cs="Times New Roman"/>
                <w:color w:val="auto"/>
                <w:sz w:val="22"/>
                <w:szCs w:val="28"/>
                <w:lang w:val="en-US" w:eastAsia="zh-CN"/>
              </w:rPr>
              <w:t>2</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Working speed(m/min)</w:t>
            </w:r>
          </w:p>
        </w:tc>
        <w:tc>
          <w:tcPr>
            <w:tcW w:w="1646" w:type="dxa"/>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Pile spacing (m)</w:t>
            </w:r>
          </w:p>
          <w:p>
            <w:pPr>
              <w:jc w:val="left"/>
              <w:rPr>
                <w:rFonts w:hint="default" w:ascii="Times New Roman" w:hAnsi="Times New Roman" w:cs="Times New Roman"/>
                <w:color w:val="auto"/>
                <w:sz w:val="22"/>
                <w:szCs w:val="28"/>
                <w:lang w:val="en-US" w:eastAsia="zh-CN"/>
              </w:rPr>
            </w:pP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0.6</w:t>
            </w:r>
          </w:p>
          <w:p>
            <w:pPr>
              <w:jc w:val="left"/>
              <w:rPr>
                <w:rFonts w:hint="default" w:ascii="Times New Roman" w:hAnsi="Times New Roman" w:cs="Times New Roman"/>
                <w:color w:val="auto"/>
                <w:sz w:val="22"/>
                <w:szCs w:val="28"/>
                <w:lang w:val="en-US" w:eastAsia="zh-CN"/>
              </w:rPr>
            </w:pPr>
          </w:p>
        </w:tc>
        <w:tc>
          <w:tcPr>
            <w:tcW w:w="3170"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Turning radius (mm)</w:t>
            </w:r>
          </w:p>
          <w:p>
            <w:pPr>
              <w:jc w:val="left"/>
              <w:rPr>
                <w:rFonts w:hint="default" w:ascii="Times New Roman" w:hAnsi="Times New Roman" w:cs="Times New Roman"/>
                <w:color w:val="auto"/>
                <w:sz w:val="22"/>
                <w:szCs w:val="28"/>
                <w:lang w:val="en-US" w:eastAsia="zh-CN"/>
              </w:rPr>
            </w:pPr>
          </w:p>
        </w:tc>
        <w:tc>
          <w:tcPr>
            <w:tcW w:w="1646" w:type="dxa"/>
            <w:vAlign w:val="top"/>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42</w:t>
            </w:r>
            <w:r>
              <w:rPr>
                <w:rFonts w:hint="default" w:ascii="Times New Roman" w:hAnsi="Times New Roman" w:cs="Times New Roman"/>
                <w:color w:val="auto"/>
                <w:sz w:val="22"/>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Maximum material particle (mm)</w:t>
            </w:r>
          </w:p>
        </w:tc>
        <w:tc>
          <w:tcPr>
            <w:tcW w:w="1632"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Φ250</w:t>
            </w:r>
          </w:p>
          <w:p>
            <w:pPr>
              <w:jc w:val="left"/>
              <w:rPr>
                <w:rFonts w:hint="default" w:ascii="Times New Roman" w:hAnsi="Times New Roman" w:cs="Times New Roman"/>
                <w:color w:val="auto"/>
                <w:sz w:val="22"/>
                <w:szCs w:val="28"/>
                <w:lang w:val="en-US" w:eastAsia="zh-CN"/>
              </w:rPr>
            </w:pPr>
          </w:p>
        </w:tc>
        <w:tc>
          <w:tcPr>
            <w:tcW w:w="3170" w:type="dxa"/>
          </w:tcPr>
          <w:p>
            <w:pPr>
              <w:jc w:val="left"/>
              <w:rPr>
                <w:rFonts w:hint="default" w:ascii="Times New Roman" w:hAnsi="Times New Roman" w:cs="Times New Roman"/>
                <w:color w:val="auto"/>
                <w:sz w:val="22"/>
                <w:szCs w:val="28"/>
                <w:lang w:val="en-US" w:eastAsia="zh-CN"/>
              </w:rPr>
            </w:pPr>
          </w:p>
        </w:tc>
        <w:tc>
          <w:tcPr>
            <w:tcW w:w="1646" w:type="dxa"/>
          </w:tcPr>
          <w:p>
            <w:pPr>
              <w:jc w:val="left"/>
              <w:rPr>
                <w:rFonts w:hint="default" w:ascii="Times New Roman" w:hAnsi="Times New Roman" w:cs="Times New Roman"/>
                <w:color w:val="auto"/>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Handling capacity calculation</w:t>
            </w:r>
          </w:p>
        </w:tc>
        <w:tc>
          <w:tcPr>
            <w:tcW w:w="6448" w:type="dxa"/>
            <w:gridSpan w:val="3"/>
            <w:vAlign w:val="top"/>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7m/min (speed) x 60min (time) x</w:t>
            </w:r>
            <w:r>
              <w:rPr>
                <w:rFonts w:hint="eastAsia" w:ascii="Times New Roman" w:hAnsi="Times New Roman" w:cs="Times New Roman"/>
                <w:color w:val="auto"/>
                <w:sz w:val="22"/>
                <w:szCs w:val="28"/>
                <w:lang w:val="en-US" w:eastAsia="zh-CN"/>
              </w:rPr>
              <w:t>3</w:t>
            </w:r>
            <w:r>
              <w:rPr>
                <w:rFonts w:hint="default" w:ascii="Times New Roman" w:hAnsi="Times New Roman" w:cs="Times New Roman"/>
                <w:color w:val="auto"/>
                <w:sz w:val="22"/>
                <w:szCs w:val="28"/>
                <w:lang w:val="en-US" w:eastAsia="zh-CN"/>
              </w:rPr>
              <w:t xml:space="preserve">m (width) x </w:t>
            </w:r>
            <w:r>
              <w:rPr>
                <w:rFonts w:hint="eastAsia" w:ascii="Times New Roman" w:hAnsi="Times New Roman" w:cs="Times New Roman"/>
                <w:color w:val="auto"/>
                <w:sz w:val="22"/>
                <w:szCs w:val="28"/>
                <w:lang w:val="en-US" w:eastAsia="zh-CN"/>
              </w:rPr>
              <w:t xml:space="preserve">1.3 </w:t>
            </w:r>
            <w:r>
              <w:rPr>
                <w:rFonts w:hint="default" w:ascii="Times New Roman" w:hAnsi="Times New Roman" w:cs="Times New Roman"/>
                <w:color w:val="auto"/>
                <w:sz w:val="22"/>
                <w:szCs w:val="28"/>
                <w:lang w:val="en-US" w:eastAsia="zh-CN"/>
              </w:rPr>
              <w:t xml:space="preserve">m (height) ÷ 2 = </w:t>
            </w:r>
            <w:r>
              <w:rPr>
                <w:rFonts w:hint="eastAsia" w:ascii="Times New Roman" w:hAnsi="Times New Roman" w:cs="Times New Roman"/>
                <w:color w:val="auto"/>
                <w:sz w:val="22"/>
                <w:szCs w:val="28"/>
                <w:lang w:val="en-US" w:eastAsia="zh-CN"/>
              </w:rPr>
              <w:t>819 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/hour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rFonts w:hint="default" w:ascii="Times New Roman" w:hAnsi="Times New Roman" w:cs="Times New Roman"/>
                <w:color w:val="auto"/>
                <w:sz w:val="22"/>
                <w:szCs w:val="28"/>
                <w:lang w:val="en-US" w:eastAsia="zh-CN"/>
              </w:rPr>
            </w:pPr>
            <w:r>
              <w:rPr>
                <w:rFonts w:hint="default" w:ascii="Times New Roman" w:hAnsi="Times New Roman" w:cs="Times New Roman"/>
                <w:color w:val="auto"/>
                <w:sz w:val="22"/>
                <w:szCs w:val="28"/>
                <w:lang w:val="en-US" w:eastAsia="zh-CN"/>
              </w:rPr>
              <w:t>Engine brand</w:t>
            </w:r>
          </w:p>
        </w:tc>
        <w:tc>
          <w:tcPr>
            <w:tcW w:w="6448" w:type="dxa"/>
            <w:gridSpan w:val="3"/>
          </w:tcPr>
          <w:p>
            <w:pPr>
              <w:jc w:val="left"/>
              <w:rPr>
                <w:rFonts w:hint="default"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 xml:space="preserve"> Wei chai  6105ZY</w:t>
            </w:r>
          </w:p>
        </w:tc>
      </w:tr>
    </w:tbl>
    <w:p>
      <w:pPr>
        <w:jc w:val="left"/>
        <w:rPr>
          <w:rFonts w:hint="default" w:ascii="Times New Roman" w:hAnsi="Times New Roman" w:cs="Times New Roman"/>
          <w:color w:val="auto"/>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pPr>
      <w:r>
        <w:drawing>
          <wp:anchor distT="0" distB="0" distL="114300" distR="114300" simplePos="0" relativeHeight="251659264" behindDoc="0" locked="0" layoutInCell="1" allowOverlap="1">
            <wp:simplePos x="0" y="0"/>
            <wp:positionH relativeFrom="column">
              <wp:posOffset>298450</wp:posOffset>
            </wp:positionH>
            <wp:positionV relativeFrom="paragraph">
              <wp:posOffset>38735</wp:posOffset>
            </wp:positionV>
            <wp:extent cx="4980305" cy="4313555"/>
            <wp:effectExtent l="0" t="0" r="3175"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80305" cy="4313555"/>
                    </a:xfrm>
                    <a:prstGeom prst="rect">
                      <a:avLst/>
                    </a:prstGeom>
                    <a:noFill/>
                    <a:ln>
                      <a:noFill/>
                    </a:ln>
                  </pic:spPr>
                </pic:pic>
              </a:graphicData>
            </a:graphic>
          </wp:anchor>
        </w:drawing>
      </w:r>
    </w:p>
    <w:p>
      <w:pPr>
        <w:rPr>
          <w:rFonts w:hint="default" w:eastAsiaTheme="minorEastAsia"/>
          <w:lang w:val="en-US" w:eastAsia="zh-CN"/>
        </w:rPr>
      </w:pPr>
    </w:p>
    <w:sectPr>
      <w:pgSz w:w="11906" w:h="16838"/>
      <w:pgMar w:top="720" w:right="1117" w:bottom="72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13B70810"/>
    <w:rsid w:val="13B7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2023-09-17T10:56:00Z</dcterms:created>
  <dc:creator>搜狐自媒体艺食家Judy</dc:creator>
  <cp:lastModifiedBy>搜狐自媒体艺食家Judy</cp:lastModifiedBy>
  <dcterms:modified xsi:type="dcterms:W3CDTF">2023-09-17T11:02:01Z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2B12765DAF9348B18A98C79F90F53DC9_11</vt:lpwstr>
  </property>
</Properties>
</file>